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929" w:rsidRPr="005B1929" w:rsidRDefault="005B1929" w:rsidP="005B1929">
      <w:pPr>
        <w:rPr>
          <w:b/>
          <w:sz w:val="24"/>
        </w:rPr>
      </w:pPr>
      <w:r w:rsidRPr="005B1929">
        <w:rPr>
          <w:b/>
          <w:sz w:val="24"/>
        </w:rPr>
        <w:t>Poręczny kredyt – Ty bierzesz, my poręczamy</w:t>
      </w:r>
    </w:p>
    <w:p w:rsidR="005B1929" w:rsidRDefault="005B1929" w:rsidP="005B1929">
      <w:pPr>
        <w:rPr>
          <w:b/>
        </w:rPr>
      </w:pPr>
      <w:r w:rsidRPr="005B1929">
        <w:rPr>
          <w:b/>
        </w:rPr>
        <w:t>Poręczy</w:t>
      </w:r>
      <w:r w:rsidR="00CA6D5C">
        <w:rPr>
          <w:b/>
        </w:rPr>
        <w:t>my za Ciebie nawet do 1 mln PLN</w:t>
      </w:r>
      <w:r w:rsidRPr="005B1929">
        <w:rPr>
          <w:b/>
        </w:rPr>
        <w:t xml:space="preserve"> dowolny kredyt przyczyniający się do rozwoju Twojej Firmy...</w:t>
      </w:r>
    </w:p>
    <w:p w:rsidR="00AE3576" w:rsidRPr="005B1929" w:rsidRDefault="00AE3576" w:rsidP="005B1929">
      <w:pPr>
        <w:rPr>
          <w:b/>
        </w:rPr>
      </w:pPr>
      <w:r>
        <w:rPr>
          <w:b/>
          <w:noProof/>
          <w:lang w:eastAsia="pl-PL"/>
        </w:rPr>
        <w:drawing>
          <wp:inline distT="0" distB="0" distL="0" distR="0">
            <wp:extent cx="5760720" cy="39243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zewko 800x600 -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929" w:rsidRDefault="00CA6D5C" w:rsidP="005B1929">
      <w:r>
        <w:t>Dolnośląski Fundusz Gospodarczy udziela poręczeń kredytowych na preferencyjnych warunkach:</w:t>
      </w:r>
    </w:p>
    <w:p w:rsidR="00CA6D5C" w:rsidRPr="008571E0" w:rsidRDefault="00CA6D5C" w:rsidP="005B1929">
      <w:r w:rsidRPr="008571E0">
        <w:rPr>
          <w:b/>
        </w:rPr>
        <w:t>TANIO</w:t>
      </w:r>
      <w:r w:rsidR="0023565F" w:rsidRPr="008571E0">
        <w:t xml:space="preserve"> – </w:t>
      </w:r>
      <w:r w:rsidR="008571E0" w:rsidRPr="008571E0">
        <w:t xml:space="preserve">prowizja </w:t>
      </w:r>
      <w:r w:rsidR="00E74347">
        <w:t>od 0</w:t>
      </w:r>
      <w:r w:rsidR="0023565F" w:rsidRPr="008571E0">
        <w:t xml:space="preserve">% wartości poręczenia </w:t>
      </w:r>
      <w:r w:rsidR="008571E0" w:rsidRPr="008571E0">
        <w:t>dla poręczeń na okres do 24 miesięcy,</w:t>
      </w:r>
      <w:r w:rsidR="0023565F" w:rsidRPr="008571E0">
        <w:t xml:space="preserve"> do </w:t>
      </w:r>
      <w:r w:rsidR="008571E0" w:rsidRPr="008571E0">
        <w:t>0,3% dla poręczeń na 60 miesięcy</w:t>
      </w:r>
      <w:r w:rsidRPr="008571E0">
        <w:t>.</w:t>
      </w:r>
    </w:p>
    <w:p w:rsidR="00CA6D5C" w:rsidRDefault="00CA6D5C" w:rsidP="005B1929">
      <w:r w:rsidRPr="00CA6D5C">
        <w:rPr>
          <w:b/>
        </w:rPr>
        <w:t>SZYBKO</w:t>
      </w:r>
      <w:r>
        <w:t xml:space="preserve"> – weryfikacja w dwa dni.</w:t>
      </w:r>
    </w:p>
    <w:p w:rsidR="00CA6D5C" w:rsidRDefault="00CA6D5C" w:rsidP="005B1929">
      <w:r w:rsidRPr="00CA6D5C">
        <w:rPr>
          <w:b/>
        </w:rPr>
        <w:t>KOMPLEKSOWO</w:t>
      </w:r>
      <w:r>
        <w:t xml:space="preserve"> – poręczenie do 1mln PLN, do 80% kwoty kredytu.</w:t>
      </w:r>
    </w:p>
    <w:p w:rsidR="00CA6D5C" w:rsidRDefault="00CA6D5C" w:rsidP="005B1929">
      <w:r w:rsidRPr="00CA6D5C">
        <w:rPr>
          <w:b/>
        </w:rPr>
        <w:t>NA WSZYSTKO</w:t>
      </w:r>
      <w:r>
        <w:t xml:space="preserve"> – poręczamy kredyty inwestycyjne i obrotowe.</w:t>
      </w:r>
    </w:p>
    <w:p w:rsidR="00CA6D5C" w:rsidRPr="005B1929" w:rsidRDefault="00CA6D5C" w:rsidP="005B1929">
      <w:r w:rsidRPr="00CA6D5C">
        <w:rPr>
          <w:b/>
        </w:rPr>
        <w:t>DLA KAŻDEGO</w:t>
      </w:r>
      <w:r>
        <w:t xml:space="preserve"> – brak konieczności posiadania własnego zabezpieczenia i historii kredytowej.</w:t>
      </w:r>
    </w:p>
    <w:p w:rsidR="00CA6D5C" w:rsidRPr="00140800" w:rsidRDefault="00CA6D5C">
      <w:pPr>
        <w:rPr>
          <w:sz w:val="18"/>
        </w:rPr>
      </w:pPr>
      <w:bookmarkStart w:id="0" w:name="_GoBack"/>
      <w:bookmarkEnd w:id="0"/>
    </w:p>
    <w:p w:rsidR="00F0219D" w:rsidRPr="00F0219D" w:rsidRDefault="00F0219D" w:rsidP="00F0219D">
      <w:pPr>
        <w:rPr>
          <w:b/>
        </w:rPr>
      </w:pPr>
      <w:r w:rsidRPr="00F0219D">
        <w:rPr>
          <w:b/>
        </w:rPr>
        <w:t>Prowadzisz mikro, małą lub średnią firmę na terenie Dolnego Śląska?  Weź kredyt z poręczeniem DFG i rozwiń swój biznes!</w:t>
      </w:r>
    </w:p>
    <w:p w:rsidR="00F0219D" w:rsidRDefault="00F0219D" w:rsidP="00F0219D">
      <w:r>
        <w:t>Skontaktuj się z doradcą już teraz:</w:t>
      </w:r>
    </w:p>
    <w:p w:rsidR="00F0219D" w:rsidRDefault="00C153C7" w:rsidP="00F0219D">
      <w:r>
        <w:t>T. 71 343-</w:t>
      </w:r>
      <w:r w:rsidR="00F0219D">
        <w:t>79</w:t>
      </w:r>
      <w:r>
        <w:t>-</w:t>
      </w:r>
      <w:r w:rsidR="00961FB0">
        <w:t>64</w:t>
      </w:r>
      <w:r w:rsidR="00961FB0">
        <w:br/>
      </w:r>
      <w:hyperlink r:id="rId7" w:history="1">
        <w:r w:rsidR="00F0219D" w:rsidRPr="000E7C0E">
          <w:rPr>
            <w:rStyle w:val="Hipercze"/>
          </w:rPr>
          <w:t>biuro@dfg.pl</w:t>
        </w:r>
      </w:hyperlink>
    </w:p>
    <w:p w:rsidR="007A7ADF" w:rsidRPr="00961FB0" w:rsidRDefault="00F0219D" w:rsidP="007A7ADF">
      <w:r>
        <w:t xml:space="preserve">Więcej na </w:t>
      </w:r>
      <w:hyperlink r:id="rId8" w:history="1">
        <w:r w:rsidRPr="000E7C0E">
          <w:rPr>
            <w:rStyle w:val="Hipercze"/>
          </w:rPr>
          <w:t>www.poreczenia-dfg.pl</w:t>
        </w:r>
      </w:hyperlink>
    </w:p>
    <w:sectPr w:rsidR="007A7ADF" w:rsidRPr="00961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26338"/>
    <w:multiLevelType w:val="hybridMultilevel"/>
    <w:tmpl w:val="40AA2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69"/>
    <w:rsid w:val="00123CD0"/>
    <w:rsid w:val="00140800"/>
    <w:rsid w:val="001D067C"/>
    <w:rsid w:val="0023565F"/>
    <w:rsid w:val="00414B0E"/>
    <w:rsid w:val="0044409C"/>
    <w:rsid w:val="005051EC"/>
    <w:rsid w:val="005456E1"/>
    <w:rsid w:val="005B1929"/>
    <w:rsid w:val="0064631B"/>
    <w:rsid w:val="007A7ADF"/>
    <w:rsid w:val="00844964"/>
    <w:rsid w:val="008571E0"/>
    <w:rsid w:val="008D0969"/>
    <w:rsid w:val="00940A73"/>
    <w:rsid w:val="00961FB0"/>
    <w:rsid w:val="00AE3576"/>
    <w:rsid w:val="00C153C7"/>
    <w:rsid w:val="00CA6D5C"/>
    <w:rsid w:val="00E74347"/>
    <w:rsid w:val="00F0219D"/>
    <w:rsid w:val="00FB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067C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409C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7ADF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067C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409C"/>
    <w:rPr>
      <w:rFonts w:ascii="Calibri" w:eastAsiaTheme="majorEastAsia" w:hAnsi="Calibr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92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0219D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7A7ADF"/>
    <w:rPr>
      <w:rFonts w:ascii="Calibri" w:eastAsiaTheme="majorEastAsia" w:hAnsi="Calibr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7A7A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067C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409C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7ADF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067C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409C"/>
    <w:rPr>
      <w:rFonts w:ascii="Calibri" w:eastAsiaTheme="majorEastAsia" w:hAnsi="Calibr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92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0219D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7A7ADF"/>
    <w:rPr>
      <w:rFonts w:ascii="Calibri" w:eastAsiaTheme="majorEastAsia" w:hAnsi="Calibr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7A7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eczenia-dfg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iuro@df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 Expert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Mieszkalski</dc:creator>
  <cp:lastModifiedBy>Grzegorz Mieszkalski</cp:lastModifiedBy>
  <cp:revision>6</cp:revision>
  <dcterms:created xsi:type="dcterms:W3CDTF">2013-07-10T11:10:00Z</dcterms:created>
  <dcterms:modified xsi:type="dcterms:W3CDTF">2013-07-16T13:28:00Z</dcterms:modified>
</cp:coreProperties>
</file>